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-905510</wp:posOffset>
                </wp:positionH>
                <wp:positionV relativeFrom="paragraph">
                  <wp:posOffset>64770</wp:posOffset>
                </wp:positionV>
                <wp:extent cx="7325360" cy="1036383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324560" cy="103633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style="position:absolute;margin-left:-71.3pt;margin-top:5.1pt;width:576.7pt;height:815.95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1701" w:right="850" w:header="0" w:top="567" w:footer="0" w:bottom="0" w:gutter="0"/>
          <w:pgNumType w:start="0" w:fmt="decimal"/>
          <w:formProt w:val="false"/>
          <w:textDirection w:val="lrTb"/>
          <w:docGrid w:type="default" w:linePitch="299" w:charSpace="4096"/>
        </w:sectPr>
        <w:pStyle w:val="Normal"/>
        <w:spacing w:lineRule="auto" w:line="240" w:before="0" w:after="0"/>
        <w:rPr>
          <w:rFonts w:ascii="Times New Roman" w:hAnsi="Times New Roman" w:eastAsia="Times New Roman" w:cs="Times New Roman"/>
          <w:szCs w:val="28"/>
          <w:lang w:eastAsia="ru-RU"/>
        </w:rPr>
      </w:pPr>
      <w:r>
        <w:rPr>
          <w:rFonts w:eastAsia="Times New Roman" w:cs="Times New Roman" w:ascii="Times New Roman" w:hAnsi="Times New Roman"/>
          <w:szCs w:val="28"/>
          <w:lang w:eastAsia="ru-RU"/>
        </w:rPr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Приложение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 xml:space="preserve">к приказу </w:t>
      </w:r>
      <w:r>
        <w:rPr>
          <w:rFonts w:eastAsia="Times New Roman" w:cs="Times New Roman" w:ascii="Times New Roman" w:hAnsi="Times New Roman"/>
          <w:lang w:eastAsia="ru-RU"/>
        </w:rPr>
        <w:t>Управления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Карачаево-Черкесской Республики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по сохранению, использованию, популяризации и государственной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охране объектов культурного наследия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от 14.12.2022 года №100-п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highlight w:val="yellow"/>
        </w:rPr>
      </w:pPr>
      <w:r>
        <w:rPr>
          <w:rFonts w:cs="Times New Roman" w:ascii="Times New Roman" w:hAnsi="Times New Roman"/>
          <w:sz w:val="28"/>
          <w:highlight w:val="yellow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 xml:space="preserve">Программа профилактики рисков причинения вреда (ущерба) охраняемым законом ценностям в области охраны объектов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</w:rPr>
      </w:pPr>
      <w:r>
        <w:rPr>
          <w:rFonts w:cs="Times New Roman" w:ascii="Times New Roman" w:hAnsi="Times New Roman"/>
          <w:b/>
          <w:bCs/>
          <w:sz w:val="28"/>
        </w:rPr>
        <w:t>культурного наследия федерального значения на 2023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95" w:before="129" w:after="0"/>
        <w:ind w:left="0" w:firstLine="567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6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6"/>
          <w:lang w:val="en-US" w:bidi="ru-RU"/>
        </w:rPr>
        <w:t>I</w:t>
      </w:r>
      <w:r>
        <w:rPr>
          <w:rFonts w:eastAsia="Times New Roman" w:cs="Times New Roman" w:ascii="Times New Roman" w:hAnsi="Times New Roman"/>
          <w:b/>
          <w:bCs/>
          <w:sz w:val="28"/>
          <w:szCs w:val="26"/>
          <w:lang w:bidi="ru-RU"/>
        </w:rPr>
        <w:t>. Анализ и оценка состояния подконтрольной сферы</w:t>
      </w:r>
    </w:p>
    <w:p>
      <w:pPr>
        <w:pStyle w:val="Normal"/>
        <w:spacing w:before="0" w:after="0"/>
        <w:ind w:right="467" w:firstLine="567"/>
        <w:jc w:val="both"/>
        <w:rPr>
          <w:rFonts w:ascii="Calibri" w:hAnsi="Calibri" w:eastAsia="Calibri" w:cs="Times New Roman"/>
          <w:i/>
          <w:i/>
          <w:sz w:val="26"/>
        </w:rPr>
      </w:pPr>
      <w:r>
        <w:rPr>
          <w:rFonts w:eastAsia="Calibri" w:cs="Times New Roman"/>
          <w:i/>
          <w:sz w:val="26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16" w:leader="none"/>
          <w:tab w:val="left" w:pos="993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Характеристика поднадзорных субъектов.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Субъектами профилактических мероприятий являются юридические лица, индивидуальные предприниматели, органы местного самоуправления деятельность которых подлежит государственному регулированию в области охраны объектов культурного наследия на территории Карачаево-Черкесской Республики (далее – подконтрольные субъекты).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Профилактические мероприятия при осуществлении федерального государственного контроля (надзора) в области охраны объектов культурного наследия на территории Карачаево-Черкесской Республики направлены на: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юридические лица;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- индивидуальные предприниматели;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органы местного самоуправления;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граждан, население.</w:t>
      </w:r>
    </w:p>
    <w:p>
      <w:pPr>
        <w:pStyle w:val="Normal"/>
        <w:tabs>
          <w:tab w:val="clear" w:pos="708"/>
          <w:tab w:val="left" w:pos="1418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2. Ключевые наиболее значимые риски.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Ключевыми рисками при реализации Программы профилактики рисков причинения вреда (ущерба) охраняемым законом ценностям в области охраны объектов культурного наследия (далее – Программа) являются: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Статистические показатели состояния подконтрольной среды: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 (далее – Управление) в целях предупреждения нарушений подконтрольными субъектами обязательных требований законодательства о государственной охране объектов культурного наследия,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2) информирует подконтрольные субъекты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4) проводит семинары, совещания,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личные приемы</w:t>
      </w:r>
      <w:r>
        <w:rPr>
          <w:rFonts w:eastAsia="Times New Roman" w:cs="Times New Roman" w:ascii="Times New Roman" w:hAnsi="Times New Roman"/>
          <w:sz w:val="28"/>
          <w:szCs w:val="24"/>
        </w:rPr>
        <w:t xml:space="preserve"> по вопросам применения обязательных требований;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Cs w:val="21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5) обобщает практику осуществления государственного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 w:ascii="Times New Roman" w:hAnsi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exact" w:line="295" w:before="1" w:after="0"/>
        <w:ind w:left="0" w:firstLine="567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6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6"/>
          <w:lang w:val="en-US" w:bidi="ru-RU"/>
        </w:rPr>
        <w:t>II</w:t>
      </w:r>
      <w:r>
        <w:rPr>
          <w:rFonts w:eastAsia="Times New Roman" w:cs="Times New Roman" w:ascii="Times New Roman" w:hAnsi="Times New Roman"/>
          <w:b/>
          <w:bCs/>
          <w:sz w:val="28"/>
          <w:szCs w:val="26"/>
          <w:lang w:bidi="ru-RU"/>
        </w:rPr>
        <w:t>. Цели и задачи профилактической работы</w:t>
      </w:r>
    </w:p>
    <w:p>
      <w:pPr>
        <w:pStyle w:val="Normal"/>
        <w:widowControl w:val="false"/>
        <w:numPr>
          <w:ilvl w:val="0"/>
          <w:numId w:val="0"/>
        </w:numPr>
        <w:spacing w:lineRule="exact" w:line="295" w:before="1" w:after="0"/>
        <w:ind w:left="0" w:firstLine="567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6"/>
          <w:lang w:bidi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6"/>
          <w:lang w:bidi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Цели профилактической работы: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повышение прозрачности системы государственного контроля (надзора) в целом;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управление рисками причинения вреда охраняемым законом ценностям;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мотивация к добросовестному поведению и, как следствие, снижение уровня ущерба охраняемым законом ценностям;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разъяснение подконтрольным субъектам обязательных требований;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сокращение количества нарушений юридическими лицами и индивидуальными предпринимателями обязательных требований в области охраны объектов культурного наследия;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обеспечение доступности информации об обязательных требованиях в области охраны объектов культурного наследия.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Проведение профилактических мероприятий позволит решить следующие задачи: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формирование единого понимания обязательных требований в области охраны объектов культурного наследия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в области охраны объектов культурного наследия, определение способов устранения или снижения рисков их возникновения;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- повышение уровня правовой грамотности юридических лици индивидуальных предпринимателей в области охраны объектов культурного наследия.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Настоящая </w:t>
      </w:r>
      <w:r>
        <w:rPr>
          <w:rFonts w:cs="Times New Roman" w:ascii="Times New Roman" w:hAnsi="Times New Roman"/>
          <w:sz w:val="28"/>
          <w:szCs w:val="28"/>
        </w:rPr>
        <w:t xml:space="preserve">программа призвана обеспечить создание условий для снижения случаев нарушения обязательных требований </w:t>
      </w:r>
      <w:r>
        <w:rPr>
          <w:rFonts w:cs="Times New Roman" w:ascii="Times New Roman" w:hAnsi="Times New Roman"/>
          <w:sz w:val="28"/>
        </w:rPr>
        <w:t>в областиохраны объектов культурного наследия</w:t>
      </w:r>
      <w:r>
        <w:rPr>
          <w:rFonts w:cs="Times New Roman" w:ascii="Times New Roman" w:hAnsi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Виды профилактических мероприятий, сроки (периодичность) их проведения</w:t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решения задач и достижения целей программы предусмотрены следующие виды профилактических мероприятий: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обобщение правоприменительной практики;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объявление предостережения;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консультирование;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профилактический визит.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Информирование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осуществляет информирование контролируемых лиц и иных заинтересованных лиц по вопросам соблюдения обязательных требований.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органа государственного контроля в сети "Интернет" и в средствах массовой информации.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Управление размещает и поддерживает в актуальном состоянии на своем официальном сайте в сети "Интернет":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перечень индикаторов риска нарушения обязательных требований, порядок отнесения объектов государственного контроля к категориям риска;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перечень объектов государственного контроля, с указанием категории риска;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программу профилактики рисков причинения вреда объектам культурного наследия;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сведения о способах получения консультаций по вопросам соблюдения обязательных требований;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доклады, содержащие результаты обобщения правоприменительной практики органа государственного контроля;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Обобщение правоприменительной практики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Управление ежегодно по итогам обобщения правоприменительной практики подготавливает доклад, содержащий результаты осуществления государственного контроля.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Доклад о правоприменительной практике при осуществлении государственного контроля утверждается приказом (распоряжением) руководителя Управления и размещается на ее официальном сайте в сети "Интернет" в срок не позднее 1 марта года, следующего за отчетным.</w:t>
      </w:r>
    </w:p>
    <w:p>
      <w:pPr>
        <w:pStyle w:val="NoSpacing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Объявление предостережений о недопустимости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нарушения обязательных требований</w:t>
      </w:r>
    </w:p>
    <w:p>
      <w:pPr>
        <w:pStyle w:val="NoSpacing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объявления Управлением контролируемому лицу предостережения о недопустимости нарушения обязательных требований (далее также – предостережение) контролируемое лицо вправе подать </w:t>
        <w:br/>
        <w:t>в отношении этого предостережения возражение.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Возражение на предостережение должно содержать: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полное наименование организации – контролируемого лица, фамилия, имя и отчество (при наличии) индивидуального предпринимателя или гражданина – контролируемого лица;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идентификационный номер налогоплательщика – контролируемого лица;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адрес места нахождения и осуществления деятельности организации, индивидуального предпринимателя или гражданина – контролируемого лица;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дата, номер и наименование органа, объявившего предостережение;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несогласии с предложенными в предостережении мерами по обеспечению соблюдения обязательных требований;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обоснование позиции контролируемого лица. К возражению могут быть приложены документы, подтверждающие обоснование позиции контролируемого лица.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Возражение на предостережение может быть подано в течение </w:t>
        <w:br/>
        <w:t>30 календарных дней со дня его получения.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Возражение организации на предостережение подается в электронном виде и должно быть подписано простой электронной подписью.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невозможности подачи возражения в электронном виде оно направляется заказным почтовым отправлением на бумажном носителе на почтовый адрес Управления или доставляется нарочно.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Возражение индивидуального предпринимателя на предостережение подается в электронном виде и должно быть подписано простой электронной подписью, ключ которой получен физическим лицом при личной явке </w:t>
        <w:br/>
        <w:t xml:space="preserve">в соответствии с правилами использования простой электронной подписи при обращении за получением государственных и муниципальных услуг </w:t>
        <w:br/>
        <w:t>в электронной форме, установленными Правительством Российской Федерации.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невозможности подачи возражения в электронном виде оно направляется заказным почтовым отправлением на бумажном носителе на почтовый адрес Управления или доставляется нарочно.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Возражение гражданина, не осуществляющего предпринимательскую деятельность, на предостережение подается на бумажном носителе либо </w:t>
        <w:br/>
        <w:t>в электронном виде и должно быть подписано соответственно собственноручно либо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невозможности подачи возражения в электронном виде </w:t>
        <w:br/>
        <w:t>оно направляется заказным почтовым отправлением на бумажном носителе на почтовый адрес Управления или доставляется нарочно.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Возражения на предостережения в электронном виде подаются </w:t>
        <w:br/>
        <w:t xml:space="preserve">по адресу электронной почты Управления, указанном в предостережении. Возражения на предостережения на бумажном носителе подаются лично </w:t>
        <w:br/>
        <w:t>или почтовым отправлением в адрес Управления.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Возражения на предостережения рассматриваются Управлением.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рассмотрения возражений на предостережения Управление: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направляет контролируемому лицу ответ об отклонении </w:t>
        <w:br/>
        <w:t xml:space="preserve">его возражения на предостережение – если Управление придет к выводу </w:t>
        <w:br/>
        <w:t xml:space="preserve">о необоснованности позиции контролируемого лица. В ответе должно содержаться обоснование отклонения возражения контролируемого лица </w:t>
        <w:br/>
        <w:t>на предостережение;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направляет контролируемому лицу ответ об отзыве предостережения полностью или частично – если Управление придет к выводу </w:t>
        <w:br/>
        <w:t xml:space="preserve">об обоснованности позиции контролируемого лица. Если предостережение отзывается частично, в ответе должно быть указано, в части каких действий (бездействия) контролируемого лица и (или) предложенных </w:t>
        <w:br/>
        <w:t>мер по обеспечению соблюдения обязательных требований отзывается предостережение, а в остальной части должно содержаться обоснование отклонения возражения контролируемого лица на предостережение.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Ответ контролируемому лицу по результатам рассмотрения возражения на предостережение должен быть направлен Управлением </w:t>
        <w:br/>
        <w:t>в течение 30 календарных дней со дня его поступления.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Консультирование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Инспектор Управления осуществляет консультирование: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по телефону – в часы работы Управления по вопросам сообщения контролируемым лицам контактных данных Управления, графика его работы, досудебного порядка подачи и рассмотрения жалоб контролируемых лиц;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посредством видео-конференц-связи – при наличии технической возможности в дни, часы и по вопросам, определенным начальником Управления.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видео-конференц-связи;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3) на личном приеме – в соответствии с графиком личного приема граждан в соответствии со статьей 13 Федерального закона № 59-ФЗ, </w:t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в ходе проведения профилактических визитов, контрольных (надзорных) мероприятий – при взаимодействии инспектора</w:t>
        <w:br/>
        <w:t xml:space="preserve">с контролируемыми лицами и их представителями по вопросам проведения </w:t>
        <w:br/>
        <w:t>в отношении контролируемого лица соответствующего мероприятия;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5) в ходе публичного обсуждения проекта доклада </w:t>
        <w:br/>
        <w:t>о правоприменительной практике – при взаимодействии инспектора</w:t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охраны объектов культурного наследия, осуществлением государственного контроля;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</w:t>
      </w:r>
      <w:r>
        <w:rPr>
          <w:rFonts w:cs="Times New Roman" w:ascii="Times New Roman" w:hAnsi="Times New Roman"/>
          <w:sz w:val="28"/>
        </w:rPr>
        <w:t>охраны объектов культурного наследия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осуществлением государственного контроля.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  <w:br/>
        <w:t>в случаях и по вопросам, предусмотренным Положением о</w:t>
      </w:r>
      <w:r>
        <w:rPr>
          <w:rFonts w:eastAsia="Arial"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 xml:space="preserve">федеральном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</w:t>
      </w:r>
      <w:r>
        <w:rPr>
          <w:rFonts w:cs="Times New Roman" w:ascii="Times New Roman" w:hAnsi="Times New Roman"/>
          <w:sz w:val="28"/>
          <w:szCs w:val="28"/>
        </w:rPr>
        <w:t>федерального значения, объектов культурного наследия местного (муниципального) значения, выявленных объектов культурного наследия</w:t>
      </w:r>
      <w:r>
        <w:rPr>
          <w:rFonts w:cs="Times New Roman" w:ascii="Times New Roman" w:hAnsi="Times New Roman"/>
          <w:bCs/>
          <w:sz w:val="28"/>
          <w:szCs w:val="28"/>
        </w:rPr>
        <w:t xml:space="preserve">, расположенных на территории Карачаево-Черкесской Республики. 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  <w:br/>
        <w:t>для неопределенного круга контролируемых лиц, Управление подготавливает письменное разъяснение, которое подписывает начальник Управления и размещается на официальном сайте Управления в информационно-телекоммуникационной сети «Интернет».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Профилактические визиты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Обязательный профилактический визит проводится в соответствии со статьей 52 Федерального закона "О государственном контроле (надзоре) и муниципальном контроле в Российской Федерации" в рабочее время.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Обязательный профилактический визит должен быть проведен </w:t>
        <w:br/>
        <w:t>в течение одного года со дня начала осуществления контролируемым лицом деятельности, которая или результаты которой являются объектами государственного контроля.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иных случаях профилактические визиты проводятся по инициативе Управления или по обращениям контролируемых лиц.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предлагает проведение обязательных профилактических визитов соответствующим контролируемым лицам в сроки, обеспечивающие соблюдение сроков (периодичности) проведения обязательных профилактических визитов.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наименование организации – контролируемого лица, фамилия, </w:t>
        <w:br/>
        <w:t xml:space="preserve">имя и отчество (при наличии) индивидуального предпринимателя </w:t>
        <w:br/>
        <w:t>или гражданина – контролируемого лица;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Управление и осуществляемый им вид государственного контроля;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цель проведения профилактического визита;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предлагаемая дата и время проведения профилактического визита;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форма проведения профилактического визита (профилактическая беседа или использование видео-конференц-связи);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разъяснение права отказаться от проведения профилактического визита.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Уведомления о проведении профилактических визитов подписываются начальником Управления.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Профилактический визит проводится в течение одного рабочего дня в присутствии контролируемого лица либо его представителя.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Если в день проведения профилактического визита, проводимого </w:t>
        <w:br/>
        <w:t>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 перенесении профилактического визита контролируемому лицу направляются повторные уведомления.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результатам профилактического визита инспектором, </w:t>
        <w:br/>
        <w:t>его проводившим, составляется и подписывается отчет, содержащий следующие сведения: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дата, время, форма проведения профилактического визита;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наименование организации – контролируемого лица, фамилия, </w:t>
        <w:br/>
        <w:t>имя и отчество (при наличии) индивидуального предпринимателя, гражданина – контролируемого лица, в отношении которых проведен профилактический визит;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наименование должности, фамилия и инициалы инспектора, проводившего профилактический визит;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рекомендованные контролируемому лицу способы снижения категории риска причинения вреда (ущерба) охраняемым законом ценностям </w:t>
        <w:br/>
        <w:t>(если такие способы были рекомендованы);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сведения, необходимые для отнесения объектов государственного контроля к категориям риска причинения вреда (ущерба) охраняемым законом ценностям (при их сборе инспектором).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один отчет о проведении профилактических визитов могут включаться сведения о проведении нескольких профилактических визитов.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 о проведении профилактических визитов составляется </w:t>
        <w:br/>
        <w:t>до 10 числа месяца, следующего за месяцем, в котором проводились профилактические визиты.</w:t>
      </w:r>
    </w:p>
    <w:p>
      <w:pPr>
        <w:pStyle w:val="ListParagraph"/>
        <w:spacing w:before="0" w:after="0"/>
        <w:ind w:left="142" w:firstLine="566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lang w:val="en-US"/>
        </w:rPr>
        <w:t>IV</w:t>
      </w:r>
      <w:r>
        <w:rPr>
          <w:rFonts w:cs="Times New Roman" w:ascii="Times New Roman" w:hAnsi="Times New Roman"/>
          <w:b/>
          <w:sz w:val="28"/>
        </w:rPr>
        <w:t>. Ресурсное обеспечение программы</w:t>
      </w:r>
    </w:p>
    <w:p>
      <w:pPr>
        <w:pStyle w:val="ListParagraph"/>
        <w:spacing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осуществляется Управлением за счет средств субвенции, выделяемых из бюджета Российской Федерации в бюджет Карачаево-Черкесской Республики для осуществления полномочий преданных Российской Федерацией субъекту региона. Привлечение иных кадровых, материальных и финансовых ресурсов для реализации программы не требуется.</w:t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lang w:val="en-US"/>
        </w:rPr>
        <w:t>V</w:t>
      </w:r>
      <w:r>
        <w:rPr>
          <w:rFonts w:cs="Times New Roman" w:ascii="Times New Roman" w:hAnsi="Times New Roman"/>
          <w:b/>
          <w:sz w:val="28"/>
        </w:rPr>
        <w:t>. Порядок управления Программой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Программы - заместитель начальника Управления. Руководитель Программы координирует деятельность по реализации Программы.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Исполнитель Программы: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государственный инспектор.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Обязанность исполнителя Программы: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представлять заинтересованным лицам информацию о ходе реализации Программы;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осуществлять мониторинг реализации Программы;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организовывать подготовку докладов о реализации Программы.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Разработанный контрольным (надзорным) органом проект Программы подлежит общественному обсуждению, которое проводится с 1 октября по 1 ноября года, предшествующего году реализации Программы (далее - предшествующий год), в соответствии с пунктами 11 - 13 настоящих Правил.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целях общественного обсуждения проект Программы размещается на официальном сайте Управления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обязательном порядке Управлением должна быть представлена возможность направления предложений на электронную почту контрольного (надзорного) органа.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Поданные в период общественного обсуждения предложения рассматриваются Управлением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Проект Программы направляется в общественный совет при Управлении в целях его обсуждения.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Управления в сети "Интернет" не позднее 10 декабря предшествующего года.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Программа утверждается решением уполномоченного должностного лица Управления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Отчет о реализации Программы по итогам календарного года подлежит опубликованию на официальном сайте Управления в срок до 15 февраля года, следующего за годом реализации Программы.</w:t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Cs w:val="28"/>
          <w:highlight w:val="yellow"/>
        </w:rPr>
      </w:pPr>
      <w:r>
        <w:rPr>
          <w:rFonts w:cs="Times New Roman" w:ascii="Times New Roman" w:hAnsi="Times New Roman"/>
          <w:szCs w:val="28"/>
          <w:highlight w:val="yellow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Показатели результативности и эффективности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результативности и эффективности Программы рассчитывается ежегодно (по итогам календарного года) в течение всего срока реализации Программы по следующей формуле: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 эффект =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Z показ </w:t>
      </w:r>
      <w:r>
        <w:rPr>
          <w:rFonts w:cs="Times New Roman" w:ascii="Times New Roman" w:hAnsi="Times New Roman"/>
          <w:sz w:val="36"/>
          <w:szCs w:val="28"/>
          <w:vertAlign w:val="subscript"/>
        </w:rPr>
        <w:t>*</w:t>
      </w:r>
      <w:r>
        <w:rPr>
          <w:rFonts w:cs="Times New Roman" w:ascii="Times New Roman" w:hAnsi="Times New Roman"/>
          <w:sz w:val="28"/>
          <w:szCs w:val="28"/>
        </w:rPr>
        <w:t xml:space="preserve"> 100%, где: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>
      <w:pPr>
        <w:pStyle w:val="Normal"/>
        <w:spacing w:lineRule="auto" w:line="240" w:before="0" w:after="0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показ - общее количество целевых показателей Программы, ед.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56" w:type="dxa"/>
        <w:jc w:val="left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00"/>
      </w:tblPr>
      <w:tblGrid>
        <w:gridCol w:w="1699"/>
        <w:gridCol w:w="2269"/>
        <w:gridCol w:w="2695"/>
        <w:gridCol w:w="2692"/>
      </w:tblGrid>
      <w:tr>
        <w:trPr>
          <w:trHeight w:val="919" w:hRule="exac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Значение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Уровень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реализации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Корректировка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8"/>
              </w:rPr>
              <w:t>программы</w:t>
            </w:r>
          </w:p>
        </w:tc>
      </w:tr>
      <w:tr>
        <w:trPr>
          <w:trHeight w:val="1021" w:hRule="exact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30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 эффект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90% и более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не требуется</w:t>
            </w:r>
          </w:p>
        </w:tc>
      </w:tr>
      <w:tr>
        <w:trPr>
          <w:trHeight w:val="1021" w:hRule="exact"/>
        </w:trPr>
        <w:tc>
          <w:tcPr>
            <w:tcW w:w="1699" w:type="dxa"/>
            <w:vMerge w:val="continue"/>
            <w:tcBorders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70-90%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32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>
        <w:trPr>
          <w:trHeight w:val="1021" w:hRule="exact"/>
        </w:trPr>
        <w:tc>
          <w:tcPr>
            <w:tcW w:w="1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Менее 70%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ind w:left="127" w:hanging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</w:tbl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ind w:left="5670" w:hanging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jc w:val="right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33"/>
        <w:shd w:val="clear" w:color="auto" w:fill="auto"/>
        <w:spacing w:lineRule="exact" w:line="250" w:before="0" w:after="0"/>
        <w:jc w:val="right"/>
        <w:rPr>
          <w:b w:val="false"/>
          <w:b w:val="false"/>
          <w:color w:val="000000"/>
          <w:sz w:val="22"/>
          <w:szCs w:val="22"/>
        </w:rPr>
      </w:pPr>
      <w:r>
        <w:rPr>
          <w:b w:val="false"/>
          <w:color w:val="000000"/>
          <w:sz w:val="22"/>
          <w:szCs w:val="22"/>
        </w:rPr>
      </w:r>
    </w:p>
    <w:p>
      <w:pPr>
        <w:pStyle w:val="33"/>
        <w:shd w:val="clear" w:color="auto" w:fill="auto"/>
        <w:spacing w:lineRule="exact" w:line="250" w:before="0" w:after="0"/>
        <w:jc w:val="right"/>
        <w:rPr>
          <w:rStyle w:val="0pt"/>
          <w:bCs/>
          <w:sz w:val="22"/>
          <w:szCs w:val="22"/>
          <w:shd w:fill="auto" w:val="clear"/>
        </w:rPr>
      </w:pPr>
      <w:bookmarkStart w:id="0" w:name="_GoBack"/>
      <w:bookmarkEnd w:id="0"/>
      <w:r>
        <w:rPr>
          <w:b w:val="false"/>
          <w:color w:val="000000"/>
          <w:sz w:val="20"/>
          <w:szCs w:val="20"/>
        </w:rPr>
        <w:t xml:space="preserve">Приложение </w:t>
      </w:r>
    </w:p>
    <w:p>
      <w:pPr>
        <w:pStyle w:val="23"/>
        <w:shd w:val="clear" w:fill="FFFFFF"/>
        <w:spacing w:lineRule="exact" w:line="295"/>
        <w:ind w:left="5529" w:right="-1" w:hanging="0"/>
        <w:rPr>
          <w:sz w:val="20"/>
          <w:szCs w:val="20"/>
        </w:rPr>
      </w:pPr>
      <w:r>
        <w:rPr>
          <w:rStyle w:val="0pt"/>
          <w:b w:val="false"/>
          <w:sz w:val="20"/>
          <w:szCs w:val="20"/>
        </w:rPr>
        <w:t xml:space="preserve">к Программе </w:t>
      </w:r>
      <w:r>
        <w:rPr>
          <w:color w:val="000000"/>
          <w:sz w:val="20"/>
          <w:szCs w:val="20"/>
        </w:rPr>
        <w:t>профилактики рисков причинения вреда (ущерба) охраняемым законом ценностей в области охраны объектов культурного наследия на 2023 год</w:t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План-график профилактических мероприятий на 2023 год</w:t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33"/>
        <w:shd w:val="clear" w:color="auto" w:fill="auto"/>
        <w:spacing w:lineRule="exact" w:line="324"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6"/>
        <w:tblW w:w="93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1"/>
        <w:gridCol w:w="3986"/>
        <w:gridCol w:w="2409"/>
        <w:gridCol w:w="2410"/>
      </w:tblGrid>
      <w:tr>
        <w:trPr>
          <w:trHeight w:val="685" w:hRule="atLeast"/>
        </w:trPr>
        <w:tc>
          <w:tcPr>
            <w:tcW w:w="551" w:type="dxa"/>
            <w:tcBorders/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9" w:hanging="0"/>
              <w:jc w:val="center"/>
              <w:rPr>
                <w:rStyle w:val="11pt0pt"/>
                <w:rFonts w:eastAsia="" w:eastAsiaTheme="majorEastAsia"/>
                <w:b/>
                <w:b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108" w:right="-12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3986" w:type="dxa"/>
            <w:tcBorders/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104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Наименование</w:t>
            </w:r>
          </w:p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104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мероприятия</w:t>
            </w:r>
          </w:p>
        </w:tc>
        <w:tc>
          <w:tcPr>
            <w:tcW w:w="2409" w:type="dxa"/>
            <w:tcBorders/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57" w:right="-102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Срок</w:t>
            </w:r>
          </w:p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57" w:right="-102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исполнения</w:t>
            </w:r>
          </w:p>
        </w:tc>
        <w:tc>
          <w:tcPr>
            <w:tcW w:w="2410" w:type="dxa"/>
            <w:tcBorders/>
            <w:shd w:color="auto" w:fill="FFFFFF" w:val="clear"/>
          </w:tcPr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120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Ответственный</w:t>
            </w:r>
          </w:p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40" w:before="0" w:after="0"/>
              <w:ind w:left="-114" w:right="-138" w:hanging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исполнитель</w:t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Style w:val="11pt0pt"/>
                <w:rFonts w:eastAsia="" w:cs="" w:eastAsiaTheme="majorEastAsia"/>
                <w:bCs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eastAsiaTheme="majorEastAsia"/>
                <w:b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Fonts w:eastAsia="" w:eastAsiaTheme="majorEastAsia"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Style w:val="11pt0pt"/>
                <w:rFonts w:eastAsia="" w:cs="" w:eastAsiaTheme="majorEastAsia"/>
                <w:bCs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eastAsiaTheme="majorEastAsia"/>
                <w:b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Размещение сведений о проводимых проверках и их результатах в ФГИС «Единый реестр контрольных (надзорных) мероприятий»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10" w:type="dxa"/>
            <w:tcBorders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Fonts w:eastAsia="" w:eastAsiaTheme="majorEastAsia"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sz w:val="24"/>
                <w:szCs w:val="24"/>
              </w:rPr>
            </w:pPr>
            <w:r>
              <w:rPr>
                <w:rStyle w:val="11pt0pt"/>
                <w:rFonts w:eastAsia="" w:cs="" w:eastAsiaTheme="majorEastAsia"/>
                <w:bCs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Fonts w:eastAsia="" w:eastAsiaTheme="majorEastAsia"/>
                <w:bCs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76" w:before="0" w:after="0"/>
              <w:ind w:left="120" w:hanging="0"/>
              <w:jc w:val="left"/>
              <w:rPr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kern w:val="0"/>
                <w:sz w:val="24"/>
                <w:szCs w:val="24"/>
                <w:lang w:val="ru-RU" w:eastAsia="en-US" w:bidi="ar-SA"/>
              </w:rPr>
              <w:t>Проведение разъяснительной работы с</w:t>
            </w:r>
            <w:r>
              <w:rPr>
                <w:rFonts w:eastAsia="" w:eastAsiaTheme="majorEastAsia"/>
                <w:color w:val="000000"/>
                <w:spacing w:val="-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 xml:space="preserve"> юридическими лицами 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0" w:hanging="0"/>
              <w:jc w:val="left"/>
              <w:rPr>
                <w:rFonts w:ascii="Times New Roman" w:hAnsi="Times New Roman" w:eastAsia="Times New Roman" w:cs="Times New Roman"/>
                <w:spacing w:val="-1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ajorEastAsia"/>
                <w:color w:val="000000"/>
                <w:spacing w:val="-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индивидуальными</w:t>
            </w:r>
          </w:p>
          <w:p>
            <w:pPr>
              <w:pStyle w:val="23"/>
              <w:widowControl w:val="false"/>
              <w:shd w:val="clear" w:color="auto" w:fill="auto"/>
              <w:suppressAutoHyphens w:val="true"/>
              <w:spacing w:lineRule="auto" w:line="276" w:before="0" w:after="60"/>
              <w:ind w:left="100" w:hanging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" w:eastAsiaTheme="majorEastAsia"/>
                <w:color w:val="000000"/>
                <w:spacing w:val="-2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предпринимателями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 w:val="24"/>
                <w:szCs w:val="24"/>
              </w:rPr>
            </w:pPr>
            <w:r>
              <w:rPr>
                <w:rFonts w:eastAsia="" w:eastAsiaTheme="majorEastAsia"/>
                <w:bCs/>
                <w:sz w:val="24"/>
                <w:szCs w:val="24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Cs/>
                <w:szCs w:val="24"/>
              </w:rPr>
            </w:pPr>
            <w:r>
              <w:rPr>
                <w:rStyle w:val="11pt0pt"/>
                <w:rFonts w:eastAsia="" w:cs="" w:eastAsiaTheme="majorEastAsia"/>
                <w:bCs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Style w:val="11pt0pt"/>
                <w:rFonts w:eastAsia="" w:eastAsiaTheme="majorEastAsia"/>
                <w:b/>
                <w:b/>
                <w:sz w:val="24"/>
                <w:szCs w:val="24"/>
              </w:rPr>
            </w:pPr>
            <w:r>
              <w:rPr>
                <w:rFonts w:eastAsia="" w:eastAsiaTheme="majorEastAsia"/>
                <w:b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Постоянно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Проведение публичных обсуждений результатов правоприменительной практики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1 раз в квартал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Регулярное обобщение практики осуществления федерального государственного контроля(надзора) и размещение на официальном сайте Управления соответствующей информации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До 15 февраля года, следующего за отчетным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Формирование перечней типовых нарушений обязательных требований и размещение их на официальном сайте Управления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До 15 февраля года, следующего за отчетным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Подготовка ежегодных докладов об осуществлении государственного контроля (надзора) и размещение в ГАС «Управление» и на официальном сайте Управления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До 15 февраля года, следующего за отчетным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 отдела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 отдела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11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Профилактические визиты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по инициативе Управления или по обращениям контролируемых лиц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 отдела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Fonts w:eastAsia="" w:eastAsiaTheme="majorEastAsia"/>
                <w:b w:val="false"/>
                <w:b w:val="false"/>
                <w:color w:val="000000"/>
                <w:spacing w:val="-2"/>
                <w:sz w:val="24"/>
                <w:szCs w:val="24"/>
                <w:shd w:fill="FFFFFF" w:val="clear"/>
              </w:rPr>
            </w:pPr>
            <w:r>
              <w:rPr>
                <w:rFonts w:eastAsia="" w:eastAsiaTheme="majorEastAsia"/>
                <w:b w:val="false"/>
                <w:color w:val="000000"/>
                <w:spacing w:val="-2"/>
                <w:sz w:val="24"/>
                <w:szCs w:val="24"/>
                <w:shd w:fill="FFFFFF" w:val="clear"/>
              </w:rPr>
            </w:r>
          </w:p>
        </w:tc>
      </w:tr>
      <w:tr>
        <w:trPr/>
        <w:tc>
          <w:tcPr>
            <w:tcW w:w="551" w:type="dxa"/>
            <w:tcBorders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exact" w:line="324" w:before="0" w:after="0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3986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kern w:val="0"/>
                <w:sz w:val="24"/>
                <w:szCs w:val="24"/>
                <w:lang w:val="ru-RU" w:eastAsia="en-US" w:bidi="ar-SA"/>
              </w:rPr>
              <w:t>Обязательные профилактические визиты</w:t>
            </w:r>
          </w:p>
        </w:tc>
        <w:tc>
          <w:tcPr>
            <w:tcW w:w="2409" w:type="dxa"/>
            <w:tcBorders/>
            <w:shd w:color="auto" w:fill="auto" w:val="clear"/>
            <w:vAlign w:val="center"/>
          </w:tcPr>
          <w:p>
            <w:pPr>
              <w:pStyle w:val="33"/>
              <w:widowControl w:val="false"/>
              <w:shd w:val="clear" w:color="auto" w:fill="auto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Style w:val="11pt0pt"/>
                <w:rFonts w:eastAsia="" w:eastAsiaTheme="majorEastAsia"/>
                <w:b w:val="false"/>
                <w:kern w:val="0"/>
                <w:lang w:val="ru-RU" w:eastAsia="en-US" w:bidi="ar-SA"/>
              </w:rPr>
              <w:t xml:space="preserve"> раз в месяц</w:t>
            </w:r>
          </w:p>
        </w:tc>
        <w:tc>
          <w:tcPr>
            <w:tcW w:w="2410" w:type="dxa"/>
            <w:tcBorders/>
            <w:vAlign w:val="center"/>
          </w:tcPr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Style w:val="11pt0pt"/>
                <w:rFonts w:eastAsia="" w:eastAsiaTheme="majorEastAsia"/>
                <w:b w:val="false"/>
                <w:kern w:val="0"/>
                <w:sz w:val="24"/>
                <w:szCs w:val="24"/>
                <w:lang w:val="ru-RU" w:eastAsia="en-US" w:bidi="ar-SA"/>
              </w:rPr>
              <w:t>главный государственный инспектор отдела</w:t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  <w:p>
            <w:pPr>
              <w:pStyle w:val="33"/>
              <w:widowControl w:val="false"/>
              <w:shd w:val="clear" w:fill="FFFFFF"/>
              <w:suppressAutoHyphens w:val="true"/>
              <w:spacing w:lineRule="auto" w:line="276" w:before="0" w:after="0"/>
              <w:jc w:val="left"/>
              <w:rPr>
                <w:rStyle w:val="11pt0pt"/>
                <w:rFonts w:eastAsia="" w:eastAsiaTheme="majorEastAsia"/>
                <w:b w:val="false"/>
                <w:b w:val="false"/>
                <w:sz w:val="24"/>
                <w:szCs w:val="24"/>
              </w:rPr>
            </w:pPr>
            <w:r>
              <w:rPr>
                <w:rFonts w:eastAsia="" w:eastAsiaTheme="majorEastAsia"/>
                <w:b w:val="false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3"/>
      <w:type w:val="nextPage"/>
      <w:pgSz w:w="11906" w:h="16838"/>
      <w:pgMar w:left="1701" w:right="850" w:header="0" w:top="1134" w:footer="1085" w:bottom="1142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Times New Roman" w:hAnsi="Times New Roman" w:cs="Times New Roman"/>
      </w:rPr>
    </w:pPr>
    <w:sdt>
      <w:sdtPr>
        <w:id w:val="1543556461"/>
      </w:sdtPr>
      <w:sdtContent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</w:rPr>
          <w:t>0</w:t>
        </w:r>
        <w:r>
          <w:rPr>
            <w:rFonts w:cs="Times New Roman" w:ascii="Times New Roman" w:hAnsi="Times New Roman"/>
          </w:rPr>
          <w:fldChar w:fldCharType="end"/>
        </w:r>
      </w:sdtContent>
    </w:sdt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1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1c0ffd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1c0ff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1c0ff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1c0ffd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1c0ff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1c0ff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1c0ff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1c0ffd"/>
    <w:pPr>
      <w:keepNext w:val="true"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1c0ffd"/>
    <w:pPr>
      <w:keepNext w:val="true"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4"/>
    <w:uiPriority w:val="99"/>
    <w:semiHidden/>
    <w:qFormat/>
    <w:rsid w:val="0079306b"/>
    <w:rPr>
      <w:rFonts w:ascii="Tahoma" w:hAnsi="Tahoma" w:cs="Tahoma"/>
      <w:sz w:val="16"/>
      <w:szCs w:val="16"/>
    </w:rPr>
  </w:style>
  <w:style w:type="character" w:styleId="Style6" w:customStyle="1">
    <w:name w:val="Верхний колонтитул Знак"/>
    <w:basedOn w:val="DefaultParagraphFont"/>
    <w:link w:val="a7"/>
    <w:uiPriority w:val="99"/>
    <w:qFormat/>
    <w:rsid w:val="003d1ee9"/>
    <w:rPr/>
  </w:style>
  <w:style w:type="character" w:styleId="Style7" w:customStyle="1">
    <w:name w:val="Нижний колонтитул Знак"/>
    <w:basedOn w:val="DefaultParagraphFont"/>
    <w:link w:val="a9"/>
    <w:uiPriority w:val="99"/>
    <w:qFormat/>
    <w:rsid w:val="003d1ee9"/>
    <w:rPr/>
  </w:style>
  <w:style w:type="character" w:styleId="Style8" w:customStyle="1">
    <w:name w:val="Основной текст_"/>
    <w:basedOn w:val="DefaultParagraphFont"/>
    <w:link w:val="21"/>
    <w:qFormat/>
    <w:rsid w:val="003d1ee9"/>
    <w:rPr>
      <w:rFonts w:ascii="Times New Roman" w:hAnsi="Times New Roman" w:eastAsia="Times New Roman" w:cs="Times New Roman"/>
      <w:spacing w:val="-1"/>
      <w:sz w:val="25"/>
      <w:szCs w:val="25"/>
      <w:shd w:fill="FFFFFF" w:val="clear"/>
    </w:rPr>
  </w:style>
  <w:style w:type="character" w:styleId="31" w:customStyle="1">
    <w:name w:val="Основной текст (3)_"/>
    <w:basedOn w:val="DefaultParagraphFont"/>
    <w:link w:val="32"/>
    <w:qFormat/>
    <w:rsid w:val="003d1ee9"/>
    <w:rPr>
      <w:rFonts w:ascii="Times New Roman" w:hAnsi="Times New Roman" w:eastAsia="Times New Roman" w:cs="Times New Roman"/>
      <w:b/>
      <w:bCs/>
      <w:sz w:val="25"/>
      <w:szCs w:val="25"/>
      <w:shd w:fill="FFFFFF" w:val="clear"/>
    </w:rPr>
  </w:style>
  <w:style w:type="character" w:styleId="0pt" w:customStyle="1">
    <w:name w:val="Основной текст + Полужирный;Интервал 0 pt"/>
    <w:basedOn w:val="Style8"/>
    <w:qFormat/>
    <w:rsid w:val="003d1ee9"/>
    <w:rPr>
      <w:rFonts w:ascii="Times New Roman" w:hAnsi="Times New Roman" w:eastAsia="Times New Roman" w:cs="Times New Roman"/>
      <w:b/>
      <w:bCs/>
      <w:color w:val="000000"/>
      <w:spacing w:val="0"/>
      <w:w w:val="100"/>
      <w:sz w:val="25"/>
      <w:szCs w:val="25"/>
      <w:shd w:fill="FFFFFF" w:val="clear"/>
      <w:lang w:val="ru-RU"/>
    </w:rPr>
  </w:style>
  <w:style w:type="character" w:styleId="11pt0pt" w:customStyle="1">
    <w:name w:val="Основной текст + 11 pt;Интервал 0 pt"/>
    <w:basedOn w:val="Style8"/>
    <w:qFormat/>
    <w:rsid w:val="003d1ee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2"/>
      <w:w w:val="100"/>
      <w:sz w:val="22"/>
      <w:szCs w:val="22"/>
      <w:u w:val="none"/>
      <w:shd w:fill="FFFFFF" w:val="clear"/>
      <w:lang w:val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c0ff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1c0ff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9" w:customStyle="1">
    <w:name w:val="Название Знак"/>
    <w:basedOn w:val="DefaultParagraphFont"/>
    <w:link w:val="ad"/>
    <w:uiPriority w:val="10"/>
    <w:qFormat/>
    <w:rsid w:val="001c0ff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10" w:customStyle="1">
    <w:name w:val="Подзаголовок Знак"/>
    <w:basedOn w:val="DefaultParagraphFont"/>
    <w:link w:val="af"/>
    <w:uiPriority w:val="11"/>
    <w:qFormat/>
    <w:rsid w:val="001c0ffd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0ffd"/>
    <w:rPr>
      <w:b/>
      <w:bCs/>
    </w:rPr>
  </w:style>
  <w:style w:type="character" w:styleId="Style11">
    <w:name w:val="Выделение"/>
    <w:basedOn w:val="DefaultParagraphFont"/>
    <w:uiPriority w:val="20"/>
    <w:qFormat/>
    <w:rsid w:val="001c0ffd"/>
    <w:rPr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1c0ffd"/>
    <w:rPr>
      <w:i/>
      <w:iCs/>
      <w:color w:val="000000" w:themeColor="text1"/>
    </w:rPr>
  </w:style>
  <w:style w:type="character" w:styleId="Style12" w:customStyle="1">
    <w:name w:val="Выделенная цитата Знак"/>
    <w:basedOn w:val="DefaultParagraphFont"/>
    <w:link w:val="af4"/>
    <w:uiPriority w:val="30"/>
    <w:qFormat/>
    <w:rsid w:val="001c0f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c0f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c0f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c0f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c0ffd"/>
    <w:rPr>
      <w:b/>
      <w:bCs/>
      <w:smallCaps/>
      <w:spacing w:val="5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b27f3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27f3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7930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link w:val="a8"/>
    <w:uiPriority w:val="99"/>
    <w:unhideWhenUsed/>
    <w:rsid w:val="003d1e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0">
    <w:name w:val="Footer"/>
    <w:basedOn w:val="Normal"/>
    <w:link w:val="aa"/>
    <w:uiPriority w:val="99"/>
    <w:unhideWhenUsed/>
    <w:rsid w:val="003d1ee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3" w:customStyle="1">
    <w:name w:val="Основной текст2"/>
    <w:basedOn w:val="Normal"/>
    <w:link w:val="ab"/>
    <w:qFormat/>
    <w:rsid w:val="003d1ee9"/>
    <w:pPr>
      <w:widowControl w:val="false"/>
      <w:shd w:val="clear" w:color="auto" w:fill="FFFFFF"/>
      <w:spacing w:lineRule="exact" w:line="317" w:before="0" w:after="0"/>
      <w:jc w:val="right"/>
    </w:pPr>
    <w:rPr>
      <w:rFonts w:ascii="Times New Roman" w:hAnsi="Times New Roman" w:eastAsia="Times New Roman" w:cs="Times New Roman"/>
      <w:spacing w:val="-1"/>
      <w:sz w:val="25"/>
      <w:szCs w:val="25"/>
    </w:rPr>
  </w:style>
  <w:style w:type="paragraph" w:styleId="33" w:customStyle="1">
    <w:name w:val="Основной текст (3)"/>
    <w:basedOn w:val="Normal"/>
    <w:link w:val="31"/>
    <w:qFormat/>
    <w:rsid w:val="003d1ee9"/>
    <w:pPr>
      <w:widowControl w:val="false"/>
      <w:shd w:val="clear" w:color="auto" w:fill="FFFFFF"/>
      <w:spacing w:lineRule="atLeast" w:line="0" w:before="540" w:after="420"/>
      <w:jc w:val="center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0ffd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21">
    <w:name w:val="Title"/>
    <w:basedOn w:val="Normal"/>
    <w:next w:val="Normal"/>
    <w:link w:val="ae"/>
    <w:uiPriority w:val="10"/>
    <w:qFormat/>
    <w:rsid w:val="001c0ffd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2">
    <w:name w:val="Subtitle"/>
    <w:basedOn w:val="Normal"/>
    <w:next w:val="Normal"/>
    <w:link w:val="af0"/>
    <w:uiPriority w:val="11"/>
    <w:qFormat/>
    <w:rsid w:val="001c0ffd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c0f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en-US" w:bidi="ar-SA"/>
    </w:rPr>
  </w:style>
  <w:style w:type="paragraph" w:styleId="Quote">
    <w:name w:val="Quote"/>
    <w:basedOn w:val="Normal"/>
    <w:next w:val="Normal"/>
    <w:link w:val="23"/>
    <w:uiPriority w:val="29"/>
    <w:qFormat/>
    <w:rsid w:val="001c0ffd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af5"/>
    <w:uiPriority w:val="30"/>
    <w:qFormat/>
    <w:rsid w:val="001c0ffd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1c0ff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1A8B0-8444-434C-99A2-B1109F01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LibreOffice/7.0.6.2$Linux_X86_64 LibreOffice_project/00$Build-2</Application>
  <AppVersion>15.0000</AppVersion>
  <Pages>14</Pages>
  <Words>2826</Words>
  <Characters>22225</Characters>
  <CharactersWithSpaces>24946</CharactersWithSpaces>
  <Paragraphs>231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2022-12-27T12:11:00Z</dcterms:created>
  <dc:creator>Байрамкулова Светлана Аубекировна</dc:creator>
  <dc:description/>
  <dc:language>ru-RU</dc:language>
  <cp:lastModifiedBy/>
  <cp:lastPrinted>2022-12-27T13:01:00Z</cp:lastPrinted>
  <dcterms:modified xsi:type="dcterms:W3CDTF">2022-12-28T11:15:58Z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